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 Introduction</w:t>
      </w:r>
    </w:p>
    <w:p>
      <w:pPr>
        <w:pStyle w:val="Heading1"/>
        <w:bidi/>
      </w:pPr>
      <w:r>
        <w:rPr>
          <w:rtl/>
          <w:lang w:bidi="fa-IR"/>
        </w:rPr>
        <w:t xml:space="preserve">فصل ۱. مقدمه</w:t>
      </w:r>
    </w:p>
    <w:p>
      <w:r>
        <w:t xml:space="preserve">This chapter introduces the study of </w:t>
      </w:r>
      <w:r>
        <w:rPr>
          <w:b/>
        </w:rPr>
        <w:t>rural water access</w:t>
      </w:r>
      <w:r>
        <w:t xml:space="preserve"> in three provinces and explains why access, not only </w:t>
      </w:r>
      <w:r>
        <w:rPr>
          <w:i/>
        </w:rPr>
        <w:t>scarcity</w:t>
      </w:r>
      <w:r>
        <w:t>, is the subject of the thesis.</w:t>
      </w:r>
    </w:p>
    <w:p>
      <w:pPr>
        <w:bidi/>
      </w:pPr>
      <w:r>
        <w:rPr>
          <w:rtl/>
          <w:lang w:bidi="fa-IR"/>
        </w:rPr>
        <w:t xml:space="preserve">این فصل به معرفی مطالعه در زمینه </w:t>
      </w:r>
      <w:r>
        <w:rPr>
          <w:b/>
          <w:bCs/>
          <w:rtl/>
          <w:lang w:bidi="fa-IR"/>
        </w:rPr>
        <w:t xml:space="preserve">دسترسی روستایی به آب</w:t>
      </w:r>
      <w:r>
        <w:rPr>
          <w:rtl/>
          <w:lang w:bidi="fa-IR"/>
        </w:rPr>
        <w:t xml:space="preserve"> در سه استان می‌پردازد و توضیح می‌دهد که چرا دسترسی، و نه صرفاً </w:t>
      </w:r>
      <w:r>
        <w:rPr>
          <w:i/>
          <w:iCs/>
          <w:rtl/>
          <w:lang w:bidi="fa-IR"/>
        </w:rPr>
        <w:t xml:space="preserve">کمیابی</w:t>
      </w:r>
      <w:r>
        <w:rPr>
          <w:rtl/>
          <w:lang w:bidi="fa-IR"/>
        </w:rPr>
        <w:t xml:space="preserve">، موضوع اصلی این پایان‌نامه است.</w:t>
      </w:r>
    </w:p>
    <w:p>
      <w:pPr>
        <w:pStyle w:val="Heading2"/>
      </w:pPr>
      <w:r>
        <w:t>1.1 Background</w:t>
      </w:r>
    </w:p>
    <w:p>
      <w:pPr>
        <w:pStyle w:val="Heading2"/>
        <w:bidi/>
      </w:pPr>
      <w:r>
        <w:rPr>
          <w:rtl/>
          <w:lang w:bidi="fa-IR"/>
        </w:rPr>
        <w:t xml:space="preserve">۱.۱ پیشینه</w:t>
      </w:r>
    </w:p>
    <w:p>
      <w:r>
        <w:t>Water scarcity in rural districts has become one of the most pressing development questions of the past two decades. Households that once relied on shallow wells now travel longer distances, often several kilometers, to reach a reliable source. This chapter sets out the scope of the study, the questions it asks and the reasons the three provinces were chosen.</w:t>
      </w:r>
    </w:p>
    <w:p>
      <w:pPr>
        <w:bidi/>
      </w:pPr>
      <w:r>
        <w:rPr>
          <w:rtl/>
          <w:lang w:bidi="fa-IR"/>
        </w:rPr>
        <w:t xml:space="preserve">کمیابی آب در مناطق روستایی به یکی از مبرم‌ترین مسائل توسعه در دو دهه گذشته تبدیل شده است. خانوارهایی که زمانی به چاه‌های کم‌عمق متکی بودند، اکنون مسافت‌های طولانی‌تری را که اغلب به چندین کیلومتر می‌رسد طی می‌کنند تا به منبعی قابل اتکا دست یابند. این فصل به تبیین دامنه پژوهش، پرسش‌های مطرح‌شده در آن و دلایل انتخاب این سه استان اختصاص دارد.</w:t>
      </w:r>
    </w:p>
    <w:p>
      <w:r>
        <w:t>The research combines a household survey with interviews and a review of local government records. The survey reached 1,240 households between March and September 2024, using a stratified sample that reflects the size of each village. Interviews were held with village councils, water committee members and staff of two non-governmental organizations working in the area.</w:t>
      </w:r>
    </w:p>
    <w:p>
      <w:pPr>
        <w:bidi/>
      </w:pPr>
      <w:r>
        <w:rPr>
          <w:rtl/>
          <w:lang w:bidi="fa-IR"/>
        </w:rPr>
        <w:t xml:space="preserve">این پژوهش، پیمایش خانوار را با مصاحبه‌ها و بررسی اسناد و سوابق دولت محلی ترکیب می‌کند. این پیمایش بین مارس و سپتامبر ۲۰۲۴، با استفاده از نمونه‌گیری طبقه‌بندی‌شده‌ای که نشان‌دهنده اندازه هر روستا است، ۱٬۲۴۰ خانوار را در بر گرفت. مصاحبه‌ها با شوراهای روستا، اعضای کمیته آب و کارکنان دو سازمان غیردولتی فعال در منطقه انجام شد.</w:t>
      </w:r>
    </w:p>
    <w:p>
      <w:r>
        <w:t>Earlier studies of the region focused on infrastructure: the number of wells, the length of pipelines and the capacity of storage tanks. Fewer looked at how families actually experience access to water, how much time they spend collecting it, and how these burdens are shared between women, men and children. This gap is the starting point for the present work.</w:t>
      </w:r>
    </w:p>
    <w:p>
      <w:pPr>
        <w:bidi/>
      </w:pPr>
      <w:r>
        <w:rPr>
          <w:rtl/>
          <w:lang w:bidi="fa-IR"/>
        </w:rPr>
        <w:t xml:space="preserve">مطالعات پیشین در این منطقه بر زیرساخت‌ها تمرکز داشتند: تعداد چاه‌ها، طول خطوط لوله و ظرفیت مخازن ذخیره. مطالعات کمتری به نحوه تجربه واقعی خانواده‌ها از دسترسی به آب، میزان زمانی که صرف جمع‌آوری آن می‌کنند و چگونگی تقسیم این بار میان زنان، مردان و کودکان پرداخته‌اند. این شکاف، نقطه آغازی برای اثر حاضر است.</w:t>
      </w:r>
    </w:p>
    <w:p>
      <w:r>
        <w:t>Three questions guide the analysis. First, how has the distance to the main water source changed since 2010? Second, which households are most affected by seasonal shortages, and why? Third, what role do local institutions play in deciding who receives water when supply is limited?</w:t>
      </w:r>
    </w:p>
    <w:p>
      <w:pPr>
        <w:bidi/>
      </w:pPr>
      <w:r>
        <w:rPr>
          <w:rtl/>
          <w:lang w:bidi="fa-IR"/>
        </w:rPr>
        <w:t xml:space="preserve">سه پرسش هدایت این تحلیل را بر عهده دارند. نخست، فاصله تا منبع اصلی آب از سال ۲۰۱۰ تاکنون چه تغییری کرده است؟ دوم، کدام خانوارها بیشترین آسیب را از کمبودهای فصلی می‌بینند و چرا؟ سوم، نهادهای محلی چه نقشی در تصمیم‌گیری درباره تخصیص آب در شرایط محدودیت عرضه ایفا می‌کنند؟</w:t>
      </w:r>
    </w:p>
    <w:p>
      <w:pPr>
        <w:pStyle w:val="Heading2"/>
      </w:pPr>
      <w:r>
        <w:t>1.2 Research questions</w:t>
      </w:r>
    </w:p>
    <w:p>
      <w:pPr>
        <w:pStyle w:val="Heading2"/>
        <w:bidi/>
      </w:pPr>
      <w:r>
        <w:rPr>
          <w:rtl/>
          <w:lang w:bidi="fa-IR"/>
        </w:rPr>
        <w:t xml:space="preserve">۱.۲ پرسش‌های پژوهش</w:t>
      </w:r>
    </w:p>
    <w:p>
      <w:pPr>
        <w:pStyle w:val="ListNumber"/>
      </w:pPr>
      <w:r>
        <w:t>How has the distance to the main water source changed since 2010?</w:t>
      </w:r>
    </w:p>
    <w:p>
      <w:pPr>
        <w:pStyle w:val="ListNumber"/>
        <w:bidi/>
      </w:pPr>
      <w:r>
        <w:rPr>
          <w:rtl/>
          <w:lang w:bidi="fa-IR"/>
        </w:rPr>
        <w:t xml:space="preserve">فاصله تا منبع اصلی آب از سال ۲۰۱۰ تاکنون چه تغییری کرده است؟</w:t>
      </w:r>
    </w:p>
    <w:p>
      <w:pPr>
        <w:pStyle w:val="ListNumber"/>
      </w:pPr>
      <w:r>
        <w:t>Which households are most affected by seasonal shortages, and why?</w:t>
      </w:r>
    </w:p>
    <w:p>
      <w:pPr>
        <w:pStyle w:val="ListNumber"/>
        <w:bidi/>
      </w:pPr>
      <w:r>
        <w:rPr>
          <w:rtl/>
          <w:lang w:bidi="fa-IR"/>
        </w:rPr>
        <w:t xml:space="preserve">کدام خانوارها بیشترین آسیب را از کمبودهای فصلی می‌بینند و چرا؟</w:t>
      </w:r>
    </w:p>
    <w:p>
      <w:pPr>
        <w:pStyle w:val="ListNumber"/>
      </w:pPr>
      <w:r>
        <w:t>What role do local institutions play when supply is limited?</w:t>
      </w:r>
    </w:p>
    <w:p>
      <w:pPr>
        <w:pStyle w:val="ListNumber"/>
        <w:bidi/>
      </w:pPr>
      <w:r>
        <w:rPr>
          <w:rtl/>
          <w:lang w:bidi="fa-IR"/>
        </w:rPr>
        <w:t xml:space="preserve">نهادهای محلی در زمان محدودیت تأمین چه نقشی ایفا می‌کنند؟</w:t>
      </w:r>
    </w:p>
    <w:p>
      <w:pPr>
        <w:pStyle w:val="Heading2"/>
      </w:pPr>
      <w:r>
        <w:t>1.3 Study area</w:t>
      </w:r>
    </w:p>
    <w:p>
      <w:pPr>
        <w:pStyle w:val="Heading2"/>
        <w:bidi/>
      </w:pPr>
      <w:r>
        <w:rPr>
          <w:rtl/>
          <w:lang w:bidi="fa-IR"/>
        </w:rPr>
        <w:t xml:space="preserve">۱.۳ منطقه مورد مطالعه</w:t>
      </w:r>
    </w:p>
    <w:p>
      <w:r>
        <w:t>Table 1.1 summarizes the main characteristics of the three provinces, including population, average rainfall, the share of households connected to a piped network and the number of active water committees. The figures come from the 2021 census and from the provincial water authorities, and were checked against the survey results where possible.</w:t>
      </w:r>
    </w:p>
    <w:p>
      <w:pPr>
        <w:bidi/>
      </w:pPr>
      <w:r>
        <w:rPr>
          <w:rtl/>
          <w:lang w:bidi="fa-IR"/>
        </w:rPr>
        <w:t xml:space="preserve">جدول ۱.۱ ویژگی‌های اصلی این سه استان، از جمله جمعیت، میانگین بارندگی، سهم خانوارهای متصل به شبکه لوله‌کشی و تعداد کمیته‌های آب فعال را خلاصه می‌کند. این ارقام از سرشماری سال ۲۰۲۱ و از سازمان‌های آب استانی به دست آمده‌اند و در صورت امکان با نتایج پیمایش مطابقت داده شده‌اند.</w:t>
      </w:r>
    </w:p>
    <w:tbl>
      <w:tblPr>
        <w:tblStyle w:val="TableGrid"/>
        <w:bidiVisual/>
        <w:tblW w:type="auto" w:w="0"/>
        <w:tblLook w:firstColumn="1" w:firstRow="1" w:lastColumn="0" w:lastRow="0" w:noHBand="0" w:noVBand="1" w:val="04A0"/>
      </w:tblPr>
      <w:tblGrid>
        <w:gridCol w:w="2880"/>
        <w:gridCol w:w="2880"/>
        <w:gridCol w:w="2880"/>
      </w:tblGrid>
      <w:tr>
        <w:tc>
          <w:tcPr>
            <w:tcW w:type="dxa" w:w="2880"/>
          </w:tcPr>
          <w:p>
            <w:r>
              <w:t>Province</w:t>
            </w:r>
          </w:p>
          <w:p>
            <w:pPr>
              <w:bidi/>
            </w:pPr>
            <w:r>
              <w:rPr>
                <w:rtl/>
                <w:lang w:bidi="fa-IR"/>
              </w:rPr>
              <w:t xml:space="preserve">استان</w:t>
            </w:r>
          </w:p>
        </w:tc>
        <w:tc>
          <w:tcPr>
            <w:tcW w:type="dxa" w:w="2880"/>
          </w:tcPr>
          <w:p>
            <w:r>
              <w:t>Households surveyed</w:t>
            </w:r>
          </w:p>
          <w:p>
            <w:pPr>
              <w:bidi/>
            </w:pPr>
            <w:r>
              <w:rPr>
                <w:rtl/>
                <w:lang w:bidi="fa-IR"/>
              </w:rPr>
              <w:t xml:space="preserve">خانوارهای مورد بررسی</w:t>
            </w:r>
          </w:p>
        </w:tc>
        <w:tc>
          <w:tcPr>
            <w:tcW w:type="dxa" w:w="2880"/>
          </w:tcPr>
          <w:p>
            <w:r>
              <w:t>Active water committees</w:t>
            </w:r>
          </w:p>
          <w:p>
            <w:pPr>
              <w:bidi/>
            </w:pPr>
            <w:r>
              <w:rPr>
                <w:rtl/>
                <w:lang w:bidi="fa-IR"/>
              </w:rPr>
              <w:t xml:space="preserve">کمیته‌های آب فعال</w:t>
            </w:r>
          </w:p>
        </w:tc>
      </w:tr>
      <w:tr>
        <w:tc>
          <w:tcPr>
            <w:tcW w:type="dxa" w:w="2880"/>
          </w:tcPr>
          <w:p>
            <w:r>
              <w:t>North Valley</w:t>
            </w:r>
          </w:p>
          <w:p>
            <w:pPr>
              <w:bidi/>
            </w:pPr>
            <w:r>
              <w:rPr>
                <w:rtl/>
                <w:lang w:bidi="fa-IR"/>
              </w:rPr>
              <w:t xml:space="preserve">دره شمالی</w:t>
            </w:r>
          </w:p>
        </w:tc>
        <w:tc>
          <w:tcPr>
            <w:tcW w:type="dxa" w:w="2880"/>
          </w:tcPr>
          <w:p>
            <w:r>
              <w:t>412</w:t>
            </w:r>
          </w:p>
        </w:tc>
        <w:tc>
          <w:tcPr>
            <w:tcW w:type="dxa" w:w="2880"/>
          </w:tcPr>
          <w:p>
            <w:r>
              <w:t>9</w:t>
            </w:r>
          </w:p>
        </w:tc>
      </w:tr>
      <w:tr>
        <w:tc>
          <w:tcPr>
            <w:tcW w:type="dxa" w:w="2880"/>
          </w:tcPr>
          <w:p>
            <w:r>
              <w:t>Eastern Hills</w:t>
            </w:r>
          </w:p>
          <w:p>
            <w:pPr>
              <w:bidi/>
            </w:pPr>
            <w:r>
              <w:rPr>
                <w:rtl/>
                <w:lang w:bidi="fa-IR"/>
              </w:rPr>
              <w:t xml:space="preserve">تپه‌های شرقی</w:t>
            </w:r>
          </w:p>
        </w:tc>
        <w:tc>
          <w:tcPr>
            <w:tcW w:type="dxa" w:w="2880"/>
          </w:tcPr>
          <w:p>
            <w:r>
              <w:t>388</w:t>
            </w:r>
          </w:p>
        </w:tc>
        <w:tc>
          <w:tcPr>
            <w:tcW w:type="dxa" w:w="2880"/>
          </w:tcPr>
          <w:p>
            <w:r>
              <w:t>6</w:t>
            </w:r>
          </w:p>
        </w:tc>
      </w:tr>
      <w:tr>
        <w:tc>
          <w:tcPr>
            <w:tcW w:type="dxa" w:w="2880"/>
          </w:tcPr>
          <w:p>
            <w:r>
              <w:t>Southern Plain</w:t>
            </w:r>
          </w:p>
          <w:p>
            <w:pPr>
              <w:bidi/>
            </w:pPr>
            <w:r>
              <w:rPr>
                <w:rtl/>
                <w:lang w:bidi="fa-IR"/>
              </w:rPr>
              <w:t xml:space="preserve">دشت جنوبی</w:t>
            </w:r>
          </w:p>
        </w:tc>
        <w:tc>
          <w:tcPr>
            <w:tcW w:type="dxa" w:w="2880"/>
          </w:tcPr>
          <w:p>
            <w:r>
              <w:t>440</w:t>
            </w:r>
          </w:p>
        </w:tc>
        <w:tc>
          <w:tcPr>
            <w:tcW w:type="dxa" w:w="2880"/>
          </w:tcPr>
          <w:p>
            <w:r>
              <w:t>11</w:t>
            </w:r>
          </w:p>
        </w:tc>
      </w:tr>
    </w:tbl>
    <w:p>
      <w:pPr>
        <w:pStyle w:val="Caption"/>
      </w:pPr>
      <w:r>
        <w:t>Table 1.1 Main characteristics of the three provinces.</w:t>
      </w:r>
    </w:p>
    <w:p>
      <w:pPr>
        <w:pStyle w:val="Caption"/>
        <w:bidi/>
      </w:pPr>
      <w:r>
        <w:rPr>
          <w:rtl/>
          <w:lang w:bidi="fa-IR"/>
        </w:rPr>
        <w:t xml:space="preserve">جدول ۱.۱ ویژگی‌های اصلی سه استان.</w:t>
      </w:r>
    </w:p>
    <w:p>
      <w:pPr>
        <w:pStyle w:val="Heading2"/>
      </w:pPr>
      <w:r>
        <w:t>1.4 Structure of the thesis</w:t>
      </w:r>
    </w:p>
    <w:p>
      <w:pPr>
        <w:pStyle w:val="Heading2"/>
        <w:bidi/>
      </w:pPr>
      <w:r>
        <w:rPr>
          <w:rtl/>
          <w:lang w:bidi="fa-IR"/>
        </w:rPr>
        <w:t xml:space="preserve">۱.۴ ساختار پایان‌نامه</w:t>
      </w:r>
    </w:p>
    <w:p>
      <w:r>
        <w:t>Chapter two reviews the literature on common-pool resources and rural water governance. It draws on the work on collective action and on later studies that question whether community management can work without steady support from the state. The review pays particular attention to research from arid regions with similar rainfall patterns.</w:t>
      </w:r>
    </w:p>
    <w:p>
      <w:pPr>
        <w:bidi/>
      </w:pPr>
      <w:r>
        <w:rPr>
          <w:rtl/>
          <w:lang w:bidi="fa-IR"/>
        </w:rPr>
        <w:t xml:space="preserve">فصل دوم به مرور پیشینه پژوهش در زمینه منابع با دسترسی مشترک و حکمرانی آب روستایی می‌پردازد. این فصل بر آثار مربوط به کنش جمعی و پژوهش‌های متأخری تکیه دارد که امکان‌پذیری مدیریت جامعه‌محور را بدون حمایت مداوم دولت زیر سؤال می‌برند. در این مرور، توجه ویژه‌ای به پژوهش‌های انجام‌شده در مناطق خشک با الگوهای بارندگی مشابه معطوف شده است.</w:t>
      </w:r>
    </w:p>
    <w:p>
      <w:r>
        <w:t>Chapter three describes the methods in detail. It explains how the sample was drawn, how the questionnaire was tested in two pilot villages, and how interviews were recorded, transcribed and coded. It also discusses the limits of the data, including the difficulty of reaching households that had left their villages during the drought of 2022.</w:t>
      </w:r>
    </w:p>
    <w:p>
      <w:pPr>
        <w:bidi/>
      </w:pPr>
      <w:r>
        <w:rPr>
          <w:rtl/>
          <w:lang w:bidi="fa-IR"/>
        </w:rPr>
        <w:t xml:space="preserve">فصل سوم روش‌ها را به تفصیل شرح می‌دهد. این فصل نحوه نمونه‌گیری، چگونگی آزمون پرسشنامه در دو روستای پایلوت، و نحوه ضبط، پیاده‌سازی و کدگذاری مصاحبه‌ها را توضیح می‌دهد. همچنین محدودیت‌های داده‌ها، از جمله دشواری دسترسی به خانوارهایی که در طول خشکسالی سال ۲۰۲۲ روستاهای خود را ترک کرده بودند، به بحث گذاشته می‌شود.</w:t>
      </w:r>
    </w:p>
    <w:p>
      <w:r>
        <w:t>Chapters four and five present the results. Chapter four reports the survey findings on distance, time and cost, broken down by province, village size and household income. Chapter five turns to the interviews and shows how decisions about water are made in practice, often outside the formal rules written in the district regulations.</w:t>
      </w:r>
    </w:p>
    <w:p>
      <w:pPr>
        <w:bidi/>
      </w:pPr>
      <w:r>
        <w:rPr>
          <w:rtl/>
          <w:lang w:bidi="fa-IR"/>
        </w:rPr>
        <w:t xml:space="preserve">فصل‌های چهارم و پنجم نتایج را ارائه می‌دهند. فصل چهارم یافته‌های پیمایش درباره مسافت، زمان و هزینه را به تفکیک استان، اندازه روستا و درآمد خانوار گزارش می‌کند. فصل پنجم به مصاحبه‌ها می‌پردازد و نشان می‌دهد که تصمیم‌گیری‌های مربوط به آب در عمل چگونه اتخاذ می‌شوند، که اغلب خارج از قواعد رسمی مندرج در مقررات منطقه است.</w:t>
      </w:r>
    </w:p>
    <w:p>
      <w:r>
        <w:t>The final chapter brings the findings together and discusses what they mean for policy. It suggests that small investments in the way committees work, such as a public notice board, a written schedule and a simple complaint procedure, may do as much to reduce the burden on households as new wells or longer pipelines.</w:t>
      </w:r>
    </w:p>
    <w:p>
      <w:pPr>
        <w:bidi/>
      </w:pPr>
      <w:r>
        <w:rPr>
          <w:rtl/>
          <w:lang w:bidi="fa-IR"/>
        </w:rPr>
        <w:t xml:space="preserve">فصل پایانی یافته‌ها را جمع‌بندی کرده و پیامدهای سیاستی آن‌ها را مورد بحث قرار می‌دهد. این فصل نشان می‌دهد که سرمایه‌گذاری‌های کوچک در نحوه عملکرد کمیته‌ها، مانند یک تابلوی اعلانات عمومی، یک برنامه زمان‌بندی مکتوب و یک سازوکار ساده برای رسیدگی به شکایات، ممکن است به اندازه حفر چاه‌های جدید یا احداث خطوط لوله طولانی‌تر، در کاهش بار سنگین بر دوش خانوارها مؤثر باشد.</w:t>
      </w:r>
    </w:p>
    <w:p>
      <w:pPr>
        <w:pStyle w:val="Heading2"/>
      </w:pPr>
      <w:r>
        <w:t>1.5 Ethics</w:t>
      </w:r>
    </w:p>
    <w:p>
      <w:pPr>
        <w:pStyle w:val="Heading2"/>
        <w:bidi/>
      </w:pPr>
      <w:r>
        <w:rPr>
          <w:rtl/>
          <w:lang w:bidi="fa-IR"/>
        </w:rPr>
        <w:t xml:space="preserve">۱.۵ اخلاق پژوهش</w:t>
      </w:r>
    </w:p>
    <w:p>
      <w:r>
        <w:t>The study was approved by the university ethics committee in February 2024. All participants gave informed consent, and names of villages and individuals have been changed to protect their privacy. Quotations from interviews have been translated by the author and checked by a second speaker of the local language.</w:t>
      </w:r>
    </w:p>
    <w:p>
      <w:pPr>
        <w:bidi/>
      </w:pPr>
      <w:r>
        <w:rPr>
          <w:rtl/>
          <w:lang w:bidi="fa-IR"/>
        </w:rPr>
        <w:t xml:space="preserve">این پژوهش در فوریه ۲۰۲۴ به تصویب کمیته اخلاق دانشگاه رسید. تمامی شرکت‌کنندگان رضایت آگاهانه دادند، و به منظور حفظ حریم خصوصی آن‌ها، نام‌های روستاها و افراد تغییر یافته است. نقل‌قول‌های برگرفته از مصاحبه‌ها توسط نویسنده ترجمه شده و صحت آن‌ها توسط یک گویشور دیگرِ زبان محلی بررسی شده است.</w:t>
      </w:r>
    </w:p>
    <w:sectPr w:rsidR="00FC693F" w:rsidRPr="0006063C" w:rsidSect="00034616">
      <w:headerReference w:type="default" r:id="rId9"/>
      <w:pgSz w:w="12240" w:h="15840"/>
      <w:pgMar w:top="1440" w:right="1800" w:bottom="1440" w:left="180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Water and Power in Rural Districts (draft)</w:t>
    </w:r>
  </w:p>
  <w:p>
    <w:pPr>
      <w:pStyle w:val="Header"/>
      <w:bidi/>
    </w:pPr>
    <w:r>
      <w:rPr>
        <w:rtl/>
        <w:lang w:bidi="fa-IR"/>
      </w:rPr>
      <w:t xml:space="preserve">آب و قدرت در مناطق روستایی (پیش‌نویس)</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Power in Rural Districts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