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pPr>
      <w:r>
        <w:rPr>
          <w:rtl/>
          <w:lang w:bidi="fa-IR"/>
        </w:rPr>
        <w:t xml:space="preserve">فصل ۱. مقدمه</w:t>
      </w:r>
    </w:p>
    <w:p>
      <w:pPr>
        <w:bidi/>
      </w:pPr>
      <w:r>
        <w:rPr>
          <w:rtl/>
          <w:lang w:bidi="fa-IR"/>
        </w:rPr>
        <w:t xml:space="preserve">این فصل به معرفی مطالعه در زمینه </w:t>
      </w:r>
      <w:r>
        <w:rPr>
          <w:b/>
          <w:bCs/>
          <w:rtl/>
          <w:lang w:bidi="fa-IR"/>
        </w:rPr>
        <w:t xml:space="preserve">دسترسی روستایی به آب</w:t>
      </w:r>
      <w:r>
        <w:rPr>
          <w:rtl/>
          <w:lang w:bidi="fa-IR"/>
        </w:rPr>
        <w:t xml:space="preserve"> در سه استان می‌پردازد و توضیح می‌دهد که چرا دسترسی، و نه صرفاً </w:t>
      </w:r>
      <w:r>
        <w:rPr>
          <w:i/>
          <w:iCs/>
          <w:rtl/>
          <w:lang w:bidi="fa-IR"/>
        </w:rPr>
        <w:t xml:space="preserve">کمیابی</w:t>
      </w:r>
      <w:r>
        <w:rPr>
          <w:rtl/>
          <w:lang w:bidi="fa-IR"/>
        </w:rPr>
        <w:t xml:space="preserve">، موضوع اصلی این پایان‌نامه است.</w:t>
      </w:r>
    </w:p>
    <w:p>
      <w:pPr>
        <w:pStyle w:val="Heading2"/>
        <w:bidi/>
      </w:pPr>
      <w:r>
        <w:rPr>
          <w:rtl/>
          <w:lang w:bidi="fa-IR"/>
        </w:rPr>
        <w:t xml:space="preserve">۱.۱ پیشینه</w:t>
      </w:r>
    </w:p>
    <w:p>
      <w:pPr>
        <w:bidi/>
      </w:pPr>
      <w:r>
        <w:rPr>
          <w:rtl/>
          <w:lang w:bidi="fa-IR"/>
        </w:rPr>
        <w:t xml:space="preserve">کمیابی آب در مناطق روستایی به یکی از مبرم‌ترین مسائل توسعه در دو دهه گذشته تبدیل شده است. خانوارهایی که زمانی به چاه‌های کم‌عمق متکی بودند، اکنون مسافت‌های طولانی‌تری را که اغلب به چندین کیلومتر می‌رسد طی می‌کنند تا به منبعی قابل اتکا دست یابند. این فصل به تبیین دامنه پژوهش، پرسش‌های مطرح‌شده در آن و دلایل انتخاب این سه استان اختصاص دارد.</w:t>
      </w:r>
    </w:p>
    <w:p>
      <w:pPr>
        <w:bidi/>
      </w:pPr>
      <w:r>
        <w:rPr>
          <w:rtl/>
          <w:lang w:bidi="fa-IR"/>
        </w:rPr>
        <w:t xml:space="preserve">این پژوهش، پیمایش خانوار را با مصاحبه‌ها و بررسی اسناد و سوابق دولت محلی ترکیب می‌کند. این پیمایش بین مارس و سپتامبر ۲۰۲۴، با استفاده از نمونه‌گیری طبقه‌بندی‌شده‌ای که نشان‌دهنده اندازه هر روستا است، ۱٬۲۴۰ خانوار را در بر گرفت. مصاحبه‌ها با شوراهای روستا، اعضای کمیته آب و کارکنان دو سازمان غیردولتی فعال در منطقه انجام شد.</w:t>
      </w:r>
    </w:p>
    <w:p>
      <w:pPr>
        <w:bidi/>
      </w:pPr>
      <w:r>
        <w:rPr>
          <w:rtl/>
          <w:lang w:bidi="fa-IR"/>
        </w:rPr>
        <w:t xml:space="preserve">مطالعات پیشین در این منطقه بر زیرساخت‌ها تمرکز داشتند: تعداد چاه‌ها، طول خطوط لوله و ظرفیت مخازن ذخیره. مطالعات کمتری به نحوه تجربه واقعی خانواده‌ها از دسترسی به آب، میزان زمانی که صرف جمع‌آوری آن می‌کنند و چگونگی تقسیم این بار میان زنان، مردان و کودکان پرداخته‌اند. این شکاف، نقطه آغازی برای اثر حاضر است.</w:t>
      </w:r>
    </w:p>
    <w:p>
      <w:pPr>
        <w:bidi/>
      </w:pPr>
      <w:r>
        <w:rPr>
          <w:rtl/>
          <w:lang w:bidi="fa-IR"/>
        </w:rPr>
        <w:t xml:space="preserve">سه پرسش هدایت این تحلیل را بر عهده دارند. نخست، فاصله تا منبع اصلی آب از سال ۲۰۱۰ تاکنون چه تغییری کرده است؟ دوم، کدام خانوارها بیشترین آسیب را از کمبودهای فصلی می‌بینند و چرا؟ سوم، نهادهای محلی چه نقشی در تصمیم‌گیری درباره تخصیص آب در شرایط محدودیت عرضه ایفا می‌کنند؟</w:t>
      </w:r>
    </w:p>
    <w:p>
      <w:pPr>
        <w:pStyle w:val="Heading2"/>
        <w:bidi/>
      </w:pPr>
      <w:r>
        <w:rPr>
          <w:rtl/>
          <w:lang w:bidi="fa-IR"/>
        </w:rPr>
        <w:t xml:space="preserve">۱.۲ پرسش‌های پژوهش</w:t>
      </w:r>
    </w:p>
    <w:p>
      <w:pPr>
        <w:pStyle w:val="ListNumber"/>
        <w:bidi/>
      </w:pPr>
      <w:r>
        <w:rPr>
          <w:rtl/>
          <w:lang w:bidi="fa-IR"/>
        </w:rPr>
        <w:t xml:space="preserve">فاصله تا منبع اصلی آب از سال ۲۰۱۰ تاکنون چه تغییری کرده است؟</w:t>
      </w:r>
    </w:p>
    <w:p>
      <w:pPr>
        <w:pStyle w:val="ListNumber"/>
        <w:bidi/>
      </w:pPr>
      <w:r>
        <w:rPr>
          <w:rtl/>
          <w:lang w:bidi="fa-IR"/>
        </w:rPr>
        <w:t xml:space="preserve">کدام خانوارها بیشترین آسیب را از کمبودهای فصلی می‌بینند و چرا؟</w:t>
      </w:r>
    </w:p>
    <w:p>
      <w:pPr>
        <w:pStyle w:val="ListNumber"/>
        <w:bidi/>
      </w:pPr>
      <w:r>
        <w:rPr>
          <w:rtl/>
          <w:lang w:bidi="fa-IR"/>
        </w:rPr>
        <w:t xml:space="preserve">نهادهای محلی در زمان محدودیت تأمین چه نقشی ایفا می‌کنند؟</w:t>
      </w:r>
    </w:p>
    <w:p>
      <w:pPr>
        <w:pStyle w:val="Heading2"/>
        <w:bidi/>
      </w:pPr>
      <w:r>
        <w:rPr>
          <w:rtl/>
          <w:lang w:bidi="fa-IR"/>
        </w:rPr>
        <w:t xml:space="preserve">۱.۳ منطقه مورد مطالعه</w:t>
      </w:r>
    </w:p>
    <w:p>
      <w:pPr>
        <w:bidi/>
      </w:pPr>
      <w:r>
        <w:rPr>
          <w:rtl/>
          <w:lang w:bidi="fa-IR"/>
        </w:rPr>
        <w:t xml:space="preserve">جدول ۱.۱ ویژگی‌های اصلی این سه استان، از جمله جمعیت، میانگین بارندگی، سهم خانوارهای متصل به شبکه لوله‌کشی و تعداد کمیته‌های آب فعال را خلاصه می‌کند. این ارقام از سرشماری سال ۲۰۲۱ و از سازمان‌های آب استانی به دست آمده‌اند و در صورت امکان با نتایج پیمایش مطابقت داده شده‌اند.</w:t>
      </w:r>
    </w:p>
    <w:tbl>
      <w:tblPr>
        <w:tblStyle w:val="TableGrid"/>
        <w:bidiVisual/>
        <w:tblW w:type="auto" w:w="0"/>
        <w:tblLook w:firstColumn="1" w:firstRow="1" w:lastColumn="0" w:lastRow="0" w:noHBand="0" w:noVBand="1" w:val="04A0"/>
      </w:tblPr>
      <w:tblGrid>
        <w:gridCol w:w="2880"/>
        <w:gridCol w:w="2880"/>
        <w:gridCol w:w="2880"/>
      </w:tblGrid>
      <w:tr>
        <w:tc>
          <w:tcPr>
            <w:tcW w:type="dxa" w:w="2880"/>
          </w:tcPr>
          <w:p>
            <w:pPr>
              <w:bidi/>
            </w:pPr>
            <w:r>
              <w:rPr>
                <w:rtl/>
                <w:lang w:bidi="fa-IR"/>
              </w:rPr>
              <w:t xml:space="preserve">استان</w:t>
            </w:r>
          </w:p>
        </w:tc>
        <w:tc>
          <w:tcPr>
            <w:tcW w:type="dxa" w:w="2880"/>
          </w:tcPr>
          <w:p>
            <w:pPr>
              <w:bidi/>
            </w:pPr>
            <w:r>
              <w:rPr>
                <w:rtl/>
                <w:lang w:bidi="fa-IR"/>
              </w:rPr>
              <w:t xml:space="preserve">خانوارهای مورد بررسی</w:t>
            </w:r>
          </w:p>
        </w:tc>
        <w:tc>
          <w:tcPr>
            <w:tcW w:type="dxa" w:w="2880"/>
          </w:tcPr>
          <w:p>
            <w:pPr>
              <w:bidi/>
            </w:pPr>
            <w:r>
              <w:rPr>
                <w:rtl/>
                <w:lang w:bidi="fa-IR"/>
              </w:rPr>
              <w:t xml:space="preserve">کمیته‌های آب فعال</w:t>
            </w:r>
          </w:p>
        </w:tc>
      </w:tr>
      <w:tr>
        <w:tc>
          <w:tcPr>
            <w:tcW w:type="dxa" w:w="2880"/>
          </w:tcPr>
          <w:p>
            <w:pPr>
              <w:bidi/>
            </w:pPr>
            <w:r>
              <w:rPr>
                <w:rtl/>
                <w:lang w:bidi="fa-IR"/>
              </w:rPr>
              <w:t xml:space="preserve">دره شمالی</w:t>
            </w:r>
          </w:p>
        </w:tc>
        <w:tc>
          <w:tcPr>
            <w:tcW w:type="dxa" w:w="2880"/>
          </w:tcPr>
          <w:p>
            <w:r>
              <w:t>412</w:t>
            </w:r>
          </w:p>
        </w:tc>
        <w:tc>
          <w:tcPr>
            <w:tcW w:type="dxa" w:w="2880"/>
          </w:tcPr>
          <w:p>
            <w:r>
              <w:t>9</w:t>
            </w:r>
          </w:p>
        </w:tc>
      </w:tr>
      <w:tr>
        <w:tc>
          <w:tcPr>
            <w:tcW w:type="dxa" w:w="2880"/>
          </w:tcPr>
          <w:p>
            <w:pPr>
              <w:bidi/>
            </w:pPr>
            <w:r>
              <w:rPr>
                <w:rtl/>
                <w:lang w:bidi="fa-IR"/>
              </w:rPr>
              <w:t xml:space="preserve">تپه‌های شرقی</w:t>
            </w:r>
          </w:p>
        </w:tc>
        <w:tc>
          <w:tcPr>
            <w:tcW w:type="dxa" w:w="2880"/>
          </w:tcPr>
          <w:p>
            <w:r>
              <w:t>388</w:t>
            </w:r>
          </w:p>
        </w:tc>
        <w:tc>
          <w:tcPr>
            <w:tcW w:type="dxa" w:w="2880"/>
          </w:tcPr>
          <w:p>
            <w:r>
              <w:t>6</w:t>
            </w:r>
          </w:p>
        </w:tc>
      </w:tr>
      <w:tr>
        <w:tc>
          <w:tcPr>
            <w:tcW w:type="dxa" w:w="2880"/>
          </w:tcPr>
          <w:p>
            <w:pPr>
              <w:bidi/>
            </w:pPr>
            <w:r>
              <w:rPr>
                <w:rtl/>
                <w:lang w:bidi="fa-IR"/>
              </w:rPr>
              <w:t xml:space="preserve">دشت جنوبی</w:t>
            </w:r>
          </w:p>
        </w:tc>
        <w:tc>
          <w:tcPr>
            <w:tcW w:type="dxa" w:w="2880"/>
          </w:tcPr>
          <w:p>
            <w:r>
              <w:t>440</w:t>
            </w:r>
          </w:p>
        </w:tc>
        <w:tc>
          <w:tcPr>
            <w:tcW w:type="dxa" w:w="2880"/>
          </w:tcPr>
          <w:p>
            <w:r>
              <w:t>11</w:t>
            </w:r>
          </w:p>
        </w:tc>
      </w:tr>
    </w:tbl>
    <w:p>
      <w:pPr>
        <w:pStyle w:val="Caption"/>
        <w:bidi/>
      </w:pPr>
      <w:r>
        <w:rPr>
          <w:rtl/>
          <w:lang w:bidi="fa-IR"/>
        </w:rPr>
        <w:t xml:space="preserve">جدول ۱.۱ ویژگی‌های اصلی سه استان.</w:t>
      </w:r>
    </w:p>
    <w:p>
      <w:pPr>
        <w:pStyle w:val="Heading2"/>
        <w:bidi/>
      </w:pPr>
      <w:r>
        <w:rPr>
          <w:rtl/>
          <w:lang w:bidi="fa-IR"/>
        </w:rPr>
        <w:t xml:space="preserve">۱.۴ ساختار پایان‌نامه</w:t>
      </w:r>
    </w:p>
    <w:p>
      <w:pPr>
        <w:bidi/>
      </w:pPr>
      <w:r>
        <w:rPr>
          <w:rtl/>
          <w:lang w:bidi="fa-IR"/>
        </w:rPr>
        <w:t xml:space="preserve">فصل دوم به مرور پیشینه پژوهش در زمینه منابع با دسترسی مشترک و حکمرانی آب روستایی می‌پردازد. این فصل بر آثار مربوط به کنش جمعی و پژوهش‌های متأخری تکیه دارد که امکان‌پذیری مدیریت جامعه‌محور را بدون حمایت مداوم دولت زیر سؤال می‌برند. در این مرور، توجه ویژه‌ای به پژوهش‌های انجام‌شده در مناطق خشک با الگوهای بارندگی مشابه معطوف شده است.</w:t>
      </w:r>
    </w:p>
    <w:p>
      <w:pPr>
        <w:bidi/>
      </w:pPr>
      <w:r>
        <w:rPr>
          <w:rtl/>
          <w:lang w:bidi="fa-IR"/>
        </w:rPr>
        <w:t xml:space="preserve">فصل سوم روش‌ها را به تفصیل شرح می‌دهد. این فصل نحوه نمونه‌گیری، چگونگی آزمون پرسشنامه در دو روستای پایلوت، و نحوه ضبط، پیاده‌سازی و کدگذاری مصاحبه‌ها را توضیح می‌دهد. همچنین محدودیت‌های داده‌ها، از جمله دشواری دسترسی به خانوارهایی که در طول خشکسالی سال ۲۰۲۲ روستاهای خود را ترک کرده بودند، به بحث گذاشته می‌شود.</w:t>
      </w:r>
    </w:p>
    <w:p>
      <w:pPr>
        <w:bidi/>
      </w:pPr>
      <w:r>
        <w:rPr>
          <w:rtl/>
          <w:lang w:bidi="fa-IR"/>
        </w:rPr>
        <w:t xml:space="preserve">فصل‌های چهارم و پنجم نتایج را ارائه می‌دهند. فصل چهارم یافته‌های پیمایش درباره مسافت، زمان و هزینه را به تفکیک استان، اندازه روستا و درآمد خانوار گزارش می‌کند. فصل پنجم به مصاحبه‌ها می‌پردازد و نشان می‌دهد که تصمیم‌گیری‌های مربوط به آب در عمل چگونه اتخاذ می‌شوند، که اغلب خارج از قواعد رسمی مندرج در مقررات منطقه است.</w:t>
      </w:r>
    </w:p>
    <w:p>
      <w:pPr>
        <w:bidi/>
      </w:pPr>
      <w:r>
        <w:rPr>
          <w:rtl/>
          <w:lang w:bidi="fa-IR"/>
        </w:rPr>
        <w:t xml:space="preserve">فصل پایانی یافته‌ها را جمع‌بندی کرده و پیامدهای سیاستی آن‌ها را مورد بحث قرار می‌دهد. این فصل نشان می‌دهد که سرمایه‌گذاری‌های کوچک در نحوه عملکرد کمیته‌ها، مانند یک تابلوی اعلانات عمومی، یک برنامه زمان‌بندی مکتوب و یک سازوکار ساده برای رسیدگی به شکایات، ممکن است به اندازه حفر چاه‌های جدید یا احداث خطوط لوله طولانی‌تر، در کاهش بار سنگین بر دوش خانوارها مؤثر باشد.</w:t>
      </w:r>
    </w:p>
    <w:p>
      <w:pPr>
        <w:pStyle w:val="Heading2"/>
        <w:bidi/>
      </w:pPr>
      <w:r>
        <w:rPr>
          <w:rtl/>
          <w:lang w:bidi="fa-IR"/>
        </w:rPr>
        <w:t xml:space="preserve">۱.۵ اخلاق پژوهش</w:t>
      </w:r>
    </w:p>
    <w:p>
      <w:pPr>
        <w:bidi/>
      </w:pPr>
      <w:r>
        <w:rPr>
          <w:rtl/>
          <w:lang w:bidi="fa-IR"/>
        </w:rPr>
        <w:t xml:space="preserve">این پژوهش در فوریه ۲۰۲۴ به تصویب کمیته اخلاق دانشگاه رسید. تمامی شرکت‌کنندگان رضایت آگاهانه دادند، و به منظور حفظ حریم خصوصی آن‌ها، نام‌های روستاها و افراد تغییر یافته است. نقل‌قول‌های برگرفته از مصاحبه‌ها توسط نویسنده ترجمه شده و صحت آن‌ها توسط یک گویشور دیگرِ زبان محلی بررسی شده است.</w:t>
      </w:r>
    </w:p>
    <w:sectPr w:rsidR="00FC693F" w:rsidRPr="0006063C" w:rsidSect="00034616">
      <w:headerReference w:type="default" r:id="rId9"/>
      <w:pgSz w:w="12240" w:h="15840"/>
      <w:pgMar w:top="1440" w:right="1800" w:bottom="1440" w:left="1800" w:header="720" w:footer="720" w:gutter="0"/>
      <w:cols w:space="720"/>
      <w:bidi/>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pPr>
    <w:r>
      <w:rPr>
        <w:rtl/>
        <w:lang w:bidi="fa-IR"/>
      </w:rPr>
      <w:t xml:space="preserve">آب و قدرت در مناطق روستایی (پیش‌نویس)</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and Power in Rural Districts</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